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ptos" w:hAnsi="Aptos" w:eastAsia="Aptos"/>
          <w:b/>
          <w:color w:val="000000"/>
          <w:sz w:val="25"/>
        </w:rPr>
        <w:t>sihtasutus Andrei Gritskov Foundation</w:t>
        <w:br/>
      </w:r>
      <w:r>
        <w:rPr>
          <w:rFonts w:ascii="Aptos" w:hAnsi="Aptos" w:eastAsia="Aptos"/>
          <w:b w:val="0"/>
          <w:color w:val="000000"/>
          <w:sz w:val="19"/>
        </w:rPr>
        <w:t>Registrikood 90009720 | EHISe ID 2144285</w:t>
        <w:br/>
      </w:r>
      <w:r>
        <w:rPr>
          <w:rFonts w:ascii="Aptos" w:hAnsi="Aptos" w:eastAsia="Aptos"/>
          <w:b w:val="0"/>
          <w:color w:val="000000"/>
          <w:sz w:val="19"/>
        </w:rPr>
        <w:t>Kaubamärk Estonian StartUp School</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76"/>
        <w:gridCol w:w="4876"/>
      </w:tblGrid>
      <w:tr>
        <w:trPr>
          <w:tblHeader w:val="true"/>
        </w:trPr>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KOOSTAJA</w:t>
              <w:br/>
            </w:r>
            <w:r>
              <w:rPr>
                <w:rFonts w:ascii="Aptos" w:hAnsi="Aptos" w:eastAsia="Aptos"/>
                <w:b w:val="0"/>
                <w:color w:val="000000"/>
                <w:sz w:val="18"/>
              </w:rPr>
              <w:t>Dr. h.c. Andrei Gritskov, MBA</w:t>
              <w:br/>
            </w:r>
            <w:r>
              <w:rPr>
                <w:rFonts w:ascii="Aptos" w:hAnsi="Aptos" w:eastAsia="Aptos"/>
                <w:b w:val="0"/>
                <w:color w:val="000000"/>
                <w:sz w:val="18"/>
              </w:rPr>
              <w:t>allkiri /digitaal/</w:t>
              <w:br/>
            </w:r>
            <w:r>
              <w:rPr>
                <w:rFonts w:ascii="Aptos" w:hAnsi="Aptos" w:eastAsia="Aptos"/>
                <w:b w:val="0"/>
                <w:color w:val="000000"/>
                <w:sz w:val="18"/>
              </w:rPr>
              <w:t>kuupäev 08.09.2026</w:t>
            </w:r>
          </w:p>
        </w:tc>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KINNITAN</w:t>
              <w:br/>
            </w:r>
            <w:r>
              <w:rPr>
                <w:rFonts w:ascii="Aptos" w:hAnsi="Aptos" w:eastAsia="Aptos"/>
                <w:b w:val="0"/>
                <w:color w:val="000000"/>
                <w:sz w:val="18"/>
              </w:rPr>
              <w:t>Kinnitatud direktori Andrei Gritskov poolt 08.09.2026, Tallinn</w:t>
              <w:br/>
            </w:r>
            <w:r>
              <w:rPr>
                <w:rFonts w:ascii="Aptos" w:hAnsi="Aptos" w:eastAsia="Aptos"/>
                <w:b w:val="0"/>
                <w:color w:val="000000"/>
                <w:sz w:val="18"/>
              </w:rPr>
              <w:t>allkiri /digitaal/</w:t>
              <w:br/>
            </w:r>
            <w:r>
              <w:rPr>
                <w:rFonts w:ascii="Aptos" w:hAnsi="Aptos" w:eastAsia="Aptos"/>
                <w:b w:val="0"/>
                <w:color w:val="000000"/>
                <w:sz w:val="18"/>
              </w:rPr>
              <w:t>kuupäev 08.09.2026</w:t>
            </w:r>
          </w:p>
        </w:tc>
      </w:tr>
    </w:tbl>
    <w:p>
      <w:pPr>
        <w:spacing w:after="240" w:line="252" w:lineRule="auto"/>
      </w:pPr>
      <w:r>
        <w:rPr>
          <w:rFonts w:ascii="Aptos" w:hAnsi="Aptos" w:eastAsia="Aptos"/>
          <w:color w:val="000000"/>
          <w:sz w:val="18"/>
        </w:rPr>
        <w:t>Õppekava versioon 1.1</w:t>
        <w:br/>
      </w:r>
      <w:r>
        <w:rPr>
          <w:rFonts w:ascii="Aptos" w:hAnsi="Aptos" w:eastAsia="Aptos"/>
          <w:color w:val="000000"/>
          <w:sz w:val="18"/>
        </w:rPr>
        <w:t>Kinnitamise kuupäev 08.09.2026</w:t>
      </w:r>
    </w:p>
    <w:p>
      <w:pPr>
        <w:pStyle w:val="Title"/>
        <w:jc w:val="left"/>
      </w:pPr>
      <w:r>
        <w:t>Tehisintellekti toel sisuloome ja sotsiaalmeedia turunduse mikrokvalifikatsiooni õppekava</w:t>
      </w:r>
    </w:p>
    <w:p>
      <w:pPr>
        <w:spacing w:after="320" w:line="259" w:lineRule="auto"/>
      </w:pPr>
      <w:r>
        <w:rPr>
          <w:rFonts w:ascii="Aptos" w:hAnsi="Aptos" w:eastAsia="Aptos"/>
          <w:color w:val="5B6573"/>
          <w:sz w:val="24"/>
        </w:rPr>
        <w:t>Praktiline õpe digiturunduse sisu kavandamiseks loomiseks avaldamiseks ja mõõtmiseks</w:t>
      </w:r>
    </w:p>
    <w:p>
      <w:pPr>
        <w:spacing w:after="160" w:line="269" w:lineRule="auto"/>
      </w:pPr>
      <w:r>
        <w:rPr>
          <w:rFonts w:ascii="Aptos" w:hAnsi="Aptos" w:eastAsia="Aptos"/>
          <w:b/>
          <w:color w:val="000000"/>
          <w:sz w:val="22"/>
        </w:rPr>
        <w:t xml:space="preserve">Õppekava kirjeldab </w:t>
      </w:r>
      <w:r>
        <w:rPr>
          <w:rFonts w:ascii="Aptos" w:hAnsi="Aptos" w:eastAsia="Aptos"/>
          <w:color w:val="000000"/>
          <w:sz w:val="22"/>
        </w:rPr>
        <w:t>8 EAP mahus tööturu vajadusest lähtuvat õpet, milles õppija kavandab, loob, automatiseerib ja hindab sotsiaalmeedia sisu tehisintellekti toel ning tõendab õpiväljundid rakendusliku kampaaniaprojektiga.</w:t>
      </w:r>
    </w:p>
    <w:p>
      <w:pPr>
        <w:pStyle w:val="Heading1"/>
      </w:pPr>
      <w:r>
        <w:t>Õppekava põhiandmed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76"/>
        <w:gridCol w:w="4876"/>
      </w:tblGrid>
      <w:tr>
        <w:trPr>
          <w:tblHeader w:val="true"/>
          <w:cantSplit/>
        </w:trPr>
        <w:tc>
          <w:tcPr>
            <w:tcW w:type="dxa" w:w="289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8"/>
              </w:rPr>
              <w:t>Andmeväli</w:t>
            </w:r>
          </w:p>
        </w:tc>
        <w:tc>
          <w:tcPr>
            <w:tcW w:type="dxa" w:w="663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8"/>
              </w:rPr>
              <w:t>Kirjeldus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Koolitusasutus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sihtasutus Andrei Gritskov Foundation</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Registrikood</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90009720</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EHISe õppeasutuse ID</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2144285</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Majandustegevusteade</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260939</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Õppekava nimetus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Tehisintellekti toel sisuloome ja sotsiaalmeedia turundus</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nimetus inglise keeles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AI Assisted Content Creation and Social Media Marketing</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Õppekavarühm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Turundus ja reklaam, ISCED-F 0414</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koostamise alus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Täiskasvanute koolituse seadus, täienduskoolituse standard ning OSKA 2025. aasta tehisintellekti oskuste vajaduse uuring</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 maht</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8 EAP ehk 208 astronoomilist tundi õppija kogutööna</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Õppevorm</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Kontaktõpe auditooriumis või veebis, juhendatud praktiline õpe, iseseisev õpe ja lõpphindamine</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Õppekeel</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Eesti ja vene keel. Hindamistõendid koostatakse eesti keeles või lisatakse eestikeelne kokkuvõte.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Seos kvalifikatsiooniraamistikuga</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ei tugine kutsestandardile ega anna EKR taset.</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Õppekava versioon</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1.1</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Kinnitamise kuupäev</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08.09.2026</w:t>
            </w:r>
          </w:p>
        </w:tc>
      </w:tr>
    </w:tbl>
    <w:p>
      <w:pPr>
        <w:spacing w:after="20"/>
      </w:pPr>
    </w:p>
    <w:p>
      <w:pPr>
        <w:pStyle w:val="Heading1"/>
      </w:pPr>
      <w:r>
        <w:t>Tööturu vajadus ja õppekava eesmärk</w:t>
      </w:r>
    </w:p>
    <w:p>
      <w:pPr>
        <w:keepLines w:val="0"/>
        <w:spacing w:after="80" w:line="259" w:lineRule="auto"/>
      </w:pPr>
      <w:r>
        <w:rPr>
          <w:rFonts w:ascii="Aptos" w:hAnsi="Aptos" w:eastAsia="Aptos"/>
          <w:color w:val="000000"/>
          <w:sz w:val="21"/>
        </w:rPr>
        <w:t>OSKA 2025. aasta uuringu järgi vajavad müügi- ja turundustöötajad lisaks tööriistade kasutamisele strateegilist mõtlemist, andmete tõlgendamist, tulemuste kriitilist hindamist, riskitundlikkust ning inimese kontrolliga vastutustundlikku tehisintellekti rakendamist. Õppekava ühendab need oskused sisuloome, sotsiaalmeedia töövoogude ja mõõdetava kampaaniaprojektiga.</w:t>
      </w:r>
    </w:p>
    <w:p>
      <w:pPr>
        <w:keepLines w:val="0"/>
        <w:spacing w:after="80" w:line="259" w:lineRule="auto"/>
      </w:pPr>
      <w:r>
        <w:rPr>
          <w:rFonts w:ascii="Aptos" w:hAnsi="Aptos" w:eastAsia="Aptos"/>
          <w:color w:val="000000"/>
          <w:sz w:val="21"/>
        </w:rPr>
        <w:t>Õppe eesmärk on arendada õppija võimet kavandada ja teostada organisatsiooni eesmärke toetavat sotsiaalmeedia turundust, kasutada tehisintellekti sisuloome ning automatiseerimise abivahendina ja hinnata tulemusi andmete, kvaliteedi, õiguspärasuse ning ärilise väärtuse alusel.</w:t>
      </w:r>
    </w:p>
    <w:p>
      <w:pPr>
        <w:pStyle w:val="Heading1"/>
      </w:pPr>
      <w:r>
        <w:t>Sihtrühm ja õpingute alustamise tingimused</w:t>
      </w:r>
    </w:p>
    <w:p>
      <w:pPr>
        <w:keepLines w:val="0"/>
        <w:spacing w:after="80" w:line="259" w:lineRule="auto"/>
      </w:pPr>
      <w:r>
        <w:rPr>
          <w:rFonts w:ascii="Aptos" w:hAnsi="Aptos" w:eastAsia="Aptos"/>
          <w:color w:val="000000"/>
          <w:sz w:val="21"/>
        </w:rPr>
        <w:t>Õpe on mõeldud ettevõtjatele, turundus- ja kommunikatsioonitöötajatele, sisuloojatele, SMM-spetsialistidele, väikeettevõtte töötajatele ning karjääripöörajatele, kelle töö eeldab sotsiaalmeedia sisu kavandamist, loomist või haldamist.</w:t>
      </w:r>
    </w:p>
    <w:p>
      <w:pPr>
        <w:keepLines w:val="0"/>
        <w:spacing w:after="80" w:line="259" w:lineRule="auto"/>
      </w:pPr>
      <w:r>
        <w:rPr>
          <w:rFonts w:ascii="Aptos" w:hAnsi="Aptos" w:eastAsia="Aptos"/>
          <w:color w:val="000000"/>
          <w:sz w:val="21"/>
        </w:rPr>
        <w:t>Õpingute alustamiseks on vajalik keskharidus või sellele vastavad kompetentsid, arvuti tavakasutuse oskus, isiklik sülearvuti ja interneti kasutamise võimalus. Õppija peab oskama kasutada veebibrauserit, e-posti, pilvefaile ja tabelarvutuse põhifunktsioone. Varasem turundus- või programmeerimiskogemus ei ole nõutav. Enne vastuvõttu hinnatakse vestluse ja lühikese digiülesandega valmisolekut ning õpivajadust.</w:t>
      </w:r>
    </w:p>
    <w:p>
      <w:pPr>
        <w:pStyle w:val="Heading2"/>
      </w:pPr>
      <w:r>
        <w:t>Varasemate õpingute ja töökogemuse arvestamine</w:t>
      </w:r>
    </w:p>
    <w:p>
      <w:pPr>
        <w:keepLines w:val="0"/>
        <w:spacing w:after="80" w:line="259" w:lineRule="auto"/>
      </w:pPr>
      <w:r>
        <w:rPr>
          <w:rFonts w:ascii="Aptos" w:hAnsi="Aptos" w:eastAsia="Aptos"/>
          <w:color w:val="000000"/>
          <w:sz w:val="21"/>
        </w:rPr>
        <w:t>Õppija võib taotleda varem omandatud õpiväljundite arvestamist. Taotlusele lisatakse õpiväljundiga seostatavad tõendid, näiteks varasema õppe tunnistus, tööandja kinnitus, kampaaniaportfoolio, analüütikaaruanne, töövoo demonstratsioon või muu kontrollitav tööproov. Koolitusasutus võib korraldada vestluse või praktilise kontrollülesande. Otsus tehakse ja dokumenteeritakse õpiväljundite kaupa; tööstaaž või tööriista kasutamise fakt üksi ei tõenda õpiväljundi saavutamist.</w:t>
      </w:r>
    </w:p>
    <w:p>
      <w:pPr>
        <w:pStyle w:val="Heading1"/>
      </w:pPr>
      <w:r>
        <w:t>Õpiväljundid</w:t>
      </w:r>
    </w:p>
    <w:p>
      <w:pPr>
        <w:keepLines w:val="0"/>
        <w:spacing w:after="80" w:line="259" w:lineRule="auto"/>
      </w:pPr>
      <w:r>
        <w:rPr>
          <w:rFonts w:ascii="Aptos" w:hAnsi="Aptos" w:eastAsia="Aptos"/>
          <w:color w:val="000000"/>
          <w:sz w:val="21"/>
        </w:rPr>
        <w:t>Õppe lõpetanud õppija</w:t>
      </w:r>
    </w:p>
    <w:p>
      <w:pPr>
        <w:spacing w:after="60" w:line="259" w:lineRule="auto"/>
        <w:ind w:left="397" w:hanging="255"/>
      </w:pPr>
      <w:r>
        <w:rPr>
          <w:rFonts w:ascii="Aptos" w:hAnsi="Aptos" w:eastAsia="Aptos"/>
          <w:color w:val="000000"/>
          <w:sz w:val="21"/>
        </w:rPr>
        <w:t>1. koostab organisatsiooni eesmärgist, sihtrühmast, konkurentsiolukorrast ja kanalivalikust lähtuva mõõdetava sotsiaalmeedia turunduse strateegia ning sisukava;</w:t>
      </w:r>
    </w:p>
    <w:p>
      <w:pPr>
        <w:spacing w:after="60" w:line="259" w:lineRule="auto"/>
        <w:ind w:left="397" w:hanging="255"/>
      </w:pPr>
      <w:r>
        <w:rPr>
          <w:rFonts w:ascii="Aptos" w:hAnsi="Aptos" w:eastAsia="Aptos"/>
          <w:color w:val="000000"/>
          <w:sz w:val="21"/>
        </w:rPr>
        <w:t>2. loob, toimetab ja kohandab tehisintellekti toel brändikeelele ning platvormile vastavat tekstisisu, kontrollides fakte, allikaid ja avaldamisvalmidust;</w:t>
      </w:r>
    </w:p>
    <w:p>
      <w:pPr>
        <w:spacing w:after="60" w:line="259" w:lineRule="auto"/>
        <w:ind w:left="397" w:hanging="255"/>
      </w:pPr>
      <w:r>
        <w:rPr>
          <w:rFonts w:ascii="Aptos" w:hAnsi="Aptos" w:eastAsia="Aptos"/>
          <w:color w:val="000000"/>
          <w:sz w:val="21"/>
        </w:rPr>
        <w:t>3. loob tehisintellekti toel visuaalset, heli- ja videosisu ning tagab selle tehnilise kvaliteedi, ligipääsetavuse ja kasutusõiguste kontrolli;</w:t>
      </w:r>
    </w:p>
    <w:p>
      <w:pPr>
        <w:spacing w:after="60" w:line="259" w:lineRule="auto"/>
        <w:ind w:left="397" w:hanging="255"/>
      </w:pPr>
      <w:r>
        <w:rPr>
          <w:rFonts w:ascii="Aptos" w:hAnsi="Aptos" w:eastAsia="Aptos"/>
          <w:color w:val="000000"/>
          <w:sz w:val="21"/>
        </w:rPr>
        <w:t>4. kavandab ja rakendab inimese kontrolliga sisutootmise ning avaldamise töövoo, ühendades sobivad digivahendid, automatiseerimise ja vajaduse korral API teenused;</w:t>
      </w:r>
    </w:p>
    <w:p>
      <w:pPr>
        <w:spacing w:after="60" w:line="259" w:lineRule="auto"/>
        <w:ind w:left="397" w:hanging="255"/>
      </w:pPr>
      <w:r>
        <w:rPr>
          <w:rFonts w:ascii="Aptos" w:hAnsi="Aptos" w:eastAsia="Aptos"/>
          <w:color w:val="000000"/>
          <w:sz w:val="21"/>
        </w:rPr>
        <w:t>5. avaldab ja haldab sisu vastutustundlikult, järgides isikuandmete kaitse, autoriõiguse, reklaami, platvormireeglite, küberturbe ja tehisintellekti läbipaistva kasutamise nõudeid;</w:t>
      </w:r>
    </w:p>
    <w:p>
      <w:pPr>
        <w:spacing w:after="60" w:line="259" w:lineRule="auto"/>
        <w:ind w:left="397" w:hanging="255"/>
      </w:pPr>
      <w:r>
        <w:rPr>
          <w:rFonts w:ascii="Aptos" w:hAnsi="Aptos" w:eastAsia="Aptos"/>
          <w:color w:val="000000"/>
          <w:sz w:val="21"/>
        </w:rPr>
        <w:t>6. kogub ning tõlgendab sotsiaalmeedia tulemusnäitajaid, võrdleb tulemusi eesmärkidega ja teeb andmetel põhinevaid parendusettepanekuid;</w:t>
      </w:r>
    </w:p>
    <w:p>
      <w:pPr>
        <w:spacing w:after="60" w:line="259" w:lineRule="auto"/>
        <w:ind w:left="397" w:hanging="255"/>
      </w:pPr>
      <w:r>
        <w:rPr>
          <w:rFonts w:ascii="Aptos" w:hAnsi="Aptos" w:eastAsia="Aptos"/>
          <w:color w:val="000000"/>
          <w:sz w:val="21"/>
        </w:rPr>
        <w:t>7. esitleb ja kaitseb toimivat tehisintellekti toel loodud sotsiaalmeedia kampaania prototüüpi ning põhjendab lahenduse ärilist väärtust, riske ja kvaliteedikontrolli.</w:t>
      </w:r>
    </w:p>
    <w:p>
      <w:pPr>
        <w:pStyle w:val="Heading1"/>
      </w:pPr>
      <w:r>
        <w:t>Õppe maht ja ülesehitus</w:t>
      </w:r>
    </w:p>
    <w:p>
      <w:pPr>
        <w:keepLines w:val="0"/>
        <w:spacing w:after="80" w:line="259" w:lineRule="auto"/>
      </w:pPr>
      <w:r>
        <w:rPr>
          <w:rFonts w:ascii="Aptos" w:hAnsi="Aptos" w:eastAsia="Aptos"/>
          <w:color w:val="000000"/>
          <w:sz w:val="21"/>
        </w:rPr>
        <w:t>Üks EAP vastab 26 astronoomilisele tunnile õppija tööd. Kõik tabeli tunnid on astronoomilised. Õppekava 208 tundi jagunevad 34 tunniks auditoorseks kontaktõppeks, 30 tunniks reaalaja veebikontaktõppeks, 56 tunniks juhendatud praktiliseks kontaktõppeks, 76 tunniks iseseisvaks õppeks ja 12 tunniks juhendatud lõpphindamiseks. Kontaktõpe koos hindamisega on 132 tundi. Veebikontaktõpet ei arvestata iseseisva õppena.</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19"/>
        <w:gridCol w:w="1219"/>
        <w:gridCol w:w="1219"/>
        <w:gridCol w:w="1219"/>
        <w:gridCol w:w="1219"/>
        <w:gridCol w:w="1219"/>
        <w:gridCol w:w="1219"/>
        <w:gridCol w:w="1219"/>
      </w:tblGrid>
      <w:tr>
        <w:trPr>
          <w:tblHeader w:val="true"/>
          <w:cantSplit/>
        </w:trPr>
        <w:tc>
          <w:tcPr>
            <w:tcW w:type="dxa" w:w="34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Nr</w:t>
            </w:r>
          </w:p>
        </w:tc>
        <w:tc>
          <w:tcPr>
            <w:tcW w:type="dxa" w:w="272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Moodul</w:t>
            </w:r>
          </w:p>
        </w:tc>
        <w:tc>
          <w:tcPr>
            <w:tcW w:type="dxa" w:w="935"/>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Auditoorne</w:t>
            </w:r>
          </w:p>
        </w:tc>
        <w:tc>
          <w:tcPr>
            <w:tcW w:type="dxa" w:w="79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Veebis</w:t>
            </w:r>
          </w:p>
        </w:tc>
        <w:tc>
          <w:tcPr>
            <w:tcW w:type="dxa" w:w="96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Praktiline</w:t>
            </w:r>
          </w:p>
        </w:tc>
        <w:tc>
          <w:tcPr>
            <w:tcW w:type="dxa" w:w="96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Iseseisev</w:t>
            </w:r>
          </w:p>
        </w:tc>
        <w:tc>
          <w:tcPr>
            <w:tcW w:type="dxa" w:w="82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Hindamine</w:t>
            </w:r>
          </w:p>
        </w:tc>
        <w:tc>
          <w:tcPr>
            <w:tcW w:type="dxa" w:w="68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Kokku</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w:t>
            </w:r>
          </w:p>
        </w:tc>
        <w:tc>
          <w:tcPr>
            <w:tcW w:type="dxa" w:w="272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Tehisintellekti teadlik ja vastutustundlik kasutamine</w:t>
            </w:r>
          </w:p>
        </w:tc>
        <w:tc>
          <w:tcPr>
            <w:tcW w:type="dxa" w:w="935"/>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20</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w:t>
            </w:r>
          </w:p>
        </w:tc>
        <w:tc>
          <w:tcPr>
            <w:tcW w:type="dxa" w:w="272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Sotsiaalmeedia strateegia sihtrühm ja sisukava</w:t>
            </w:r>
          </w:p>
        </w:tc>
        <w:tc>
          <w:tcPr>
            <w:tcW w:type="dxa" w:w="935"/>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8</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12</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28</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w:t>
            </w:r>
          </w:p>
        </w:tc>
        <w:tc>
          <w:tcPr>
            <w:tcW w:type="dxa" w:w="272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Tekstisisu loomine ja toimetamine</w:t>
            </w:r>
          </w:p>
        </w:tc>
        <w:tc>
          <w:tcPr>
            <w:tcW w:type="dxa" w:w="935"/>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10</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10</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28</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272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Visuaal heli ja video tehisintellekti toel</w:t>
            </w:r>
          </w:p>
        </w:tc>
        <w:tc>
          <w:tcPr>
            <w:tcW w:type="dxa" w:w="935"/>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14</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12</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34</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272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Platvormipõhine avaldamine ja kogukonnahaldus</w:t>
            </w:r>
          </w:p>
        </w:tc>
        <w:tc>
          <w:tcPr>
            <w:tcW w:type="dxa" w:w="935"/>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10</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26</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272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Automatiseerimine API analüütika ja optimeerimine</w:t>
            </w:r>
          </w:p>
        </w:tc>
        <w:tc>
          <w:tcPr>
            <w:tcW w:type="dxa" w:w="935"/>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14</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14</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40</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7</w:t>
            </w:r>
          </w:p>
        </w:tc>
        <w:tc>
          <w:tcPr>
            <w:tcW w:type="dxa" w:w="272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Lõimitud kampaaniaprojekt ja lõpphindamine</w:t>
            </w:r>
          </w:p>
        </w:tc>
        <w:tc>
          <w:tcPr>
            <w:tcW w:type="dxa" w:w="935"/>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10</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12</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32</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r>
          </w:p>
        </w:tc>
        <w:tc>
          <w:tcPr>
            <w:tcW w:type="dxa" w:w="272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Kokku</w:t>
            </w:r>
          </w:p>
        </w:tc>
        <w:tc>
          <w:tcPr>
            <w:tcW w:type="dxa" w:w="935"/>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34</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30</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56</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76</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12</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208</w:t>
            </w:r>
          </w:p>
        </w:tc>
      </w:tr>
    </w:tbl>
    <w:p>
      <w:pPr>
        <w:spacing w:after="20"/>
      </w:pPr>
    </w:p>
    <w:p>
      <w:pPr>
        <w:pStyle w:val="Heading1"/>
      </w:pPr>
      <w:r>
        <w:t>Õppe sisu ja õppemeetodid</w:t>
      </w:r>
    </w:p>
    <w:p>
      <w:pPr>
        <w:keepLines w:val="0"/>
        <w:spacing w:after="80" w:line="259" w:lineRule="auto"/>
      </w:pPr>
      <w:r>
        <w:rPr>
          <w:rFonts w:ascii="Aptos" w:hAnsi="Aptos" w:eastAsia="Aptos"/>
          <w:color w:val="000000"/>
          <w:sz w:val="21"/>
        </w:rPr>
        <w:t>Moodulid moodustavad ühe terviku. Tehisintellekti väljundite inimkontrolli, faktikontrolli, andmekaitset, autoriõigust, küberturvet, ligipääsetavust ja tööprotsessi dokumenteerimist rakendatakse läbivalt kõigis praktilistes ülesannetes.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38"/>
        <w:gridCol w:w="2438"/>
        <w:gridCol w:w="2438"/>
        <w:gridCol w:w="2438"/>
      </w:tblGrid>
      <w:tr>
        <w:trPr>
          <w:tblHeader w:val="true"/>
          <w:cantSplit/>
        </w:trPr>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Moodul</w:t>
            </w:r>
          </w:p>
        </w:tc>
        <w:tc>
          <w:tcPr>
            <w:tcW w:type="dxa" w:w="408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Põhisisu</w:t>
            </w:r>
          </w:p>
        </w:tc>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Õppemeetodid</w:t>
            </w:r>
          </w:p>
        </w:tc>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Hindamistõendid</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Tehisintellekti teadlik ja vastutustundlik kasutamine</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Generatiivse tehisintellekti tööpõhimõtted ja piirangud; tööriista valik; promptide kavandamine; tulemuse kriitiline kontroll; hallutsinatsioonid ja kallutatus; ärisaladus, isikuandmed ja küberturve; autoriõigus, kasutusload, reklaami läbipaistvus, tehisintellekti märgistamine ning inimese vastutus.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Interaktiivne loeng, juhtumianalüüs, riskikaardistus, promptide labor ja tulemuste võrdlev hindamine.</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Riskianalüüs, kontrollnimekiri ja parandatud tehisintellekti väljund.</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Sotsiaalmeedia strateegia sihtrühm ja sisukava</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Äri- ja kommunikatsioonieesmärk; väärtuspakkumine; sihtrühma ning klienditeekonna analüüs; konkurendid ja trendid; kanalirollid; sisusambad; tooni- ja stiilijuhis; KPI-d; kampaania loogika; kuu sisukalender ja ressursside planeerimine.</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Töötuba, andmepõhine analüüs, rühmaarutelu, tööriistade demonstratsioon ja individuaalne projektitöö.</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Strateegiadokument, sihtrühmaprofiil, kanalivalik ja mõõdetav sisukalender.</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Tekstisisu loomine ja toimetamine</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Ideest briifini; promptide süsteem; brändihääl; postitus, reklaamtekst, lühiartikkel, pealkiri, CTA ja kirjeldus; platvormi- ning sihtrühmapõhine kohandamine; faktikontroll; allikate dokumenteerimine; keeleline toimetamine; A ja B variandid.</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Juhendatud tekstilabor, näidete analüüs, paaristagasiside, faktikontroll ja individuaalne portfooliotöö.</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Vähemalt kuuest toimetatud tekstist koosnev portfoolio koos briifi, promptide ja kontrollijäljega.</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Visuaal heli ja video tehisintellekti toel</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Visuaalse kontseptsiooni ja stiili kirjeldamine; pildi genereerimine ning järeltöötlus; lühivideo stsenaarium, kaaderdus ja montaaž; tehisheli ning sünteetilise meedia kasutus; formaadid ja tehnilised nõuded; subtiitrid, alternatiivtekst, kontrast ja ligipääsetavus; õiguste ja nõusolekute kontroll.</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Demonstratsioon, stuudiopraktikum, iteratiivne genereerimine, montaaž, kvaliteedikontroll ja paaristagasiside.</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Kampaaniaga seotud pildiseeria, lühivideo ja helielement koos õiguste ning ligipääsetavuse kontrolliga.</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Platvormipõhine avaldamine ja kogukonnahaldus</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Instagrami, Facebooki, LinkedIni, TikToki ja muude sihtrühmale sobivate kanalite rollid; formaadid; ajastus; metaandmed; ristpostitamise piirangud; sisukalender; kommentaaride ja sõnumite haldus; kriisi- ja kaebusolukord; reklaami eristatavus; avaldamise eelkontroll.</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Platvormide võrdlus, avaldamissimulatsioon, rollimäng, juhtumülesanne ja sisukalendri praktikum.</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Nelja kanali avaldamispakett, kogukonnahalduse vastusemudel ja avaldamise kontroll-leht.</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Automatiseerimine API analüütika ja optimeerimine</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Töövoo kaardistamine; automatiseerimisplatvormi ja API põhimõtted; autentimine ja võtmete turvaline hoidmine; andmeallikad; ajastamine; kinnitusring; veahaldus ja logi; teksti, pildi, heli ning video teenuste ühendamine; põhinäitajad, UTM märgistus, aruandlus, testimine ja optimeerimine.</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Töövoo labor, API demonstratsioon, simulatsioonandmed, tõrkeotsing, analüütika praktikum ja individuaalne projektitöö.</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Inimese kinnitusega automatiseeritud töövoo prototüüp, testlogi ja tulemusnäitajate aruanne.</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7 Lõimitud kampaaniaprojekt ja lõpphindamine</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Kliendi- või näidisbrändi briif; strateegia, sisukalender ja mõõdikud; mitme formaadiga sisupakett; töövoog; avaldamissimulatsioon; analüütika; riskid; kvaliteedikontroll; dokumenteerimine, esitlus, demonstratsioon ja refleksioon.</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Projektipõhine õpe, individuaalne juhendamine, portfoolio, praktiline demonstratsioon ja kaitsmine.</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Kampaania prototüüp, protsessidokumentatsioon, analüütikaaruanne, eneseanalüüs ja komisjoni protokoll.</w:t>
            </w:r>
          </w:p>
        </w:tc>
      </w:tr>
    </w:tbl>
    <w:p>
      <w:pPr>
        <w:spacing w:after="20"/>
      </w:pPr>
    </w:p>
    <w:p>
      <w:pPr>
        <w:pStyle w:val="Heading1"/>
      </w:pPr>
      <w:r>
        <w:t>Õppekeskkond ja õppematerjalid</w:t>
      </w:r>
    </w:p>
    <w:p>
      <w:pPr>
        <w:keepLines w:val="0"/>
        <w:spacing w:after="80" w:line="259" w:lineRule="auto"/>
      </w:pPr>
      <w:r>
        <w:rPr>
          <w:rFonts w:ascii="Aptos" w:hAnsi="Aptos" w:eastAsia="Aptos"/>
          <w:color w:val="000000"/>
          <w:sz w:val="21"/>
        </w:rPr>
        <w:t>Teooria- ja praktiline õpe toimub Tallinnas õppimiseks sobivas arvutiklassis või turvalises veebikeskkonnas. Rühma tunniplaanis avaldatakse enne õppe algust õppekohad, veebikohtumiste kanalid ja tehnilised nõuded. Veebiõppes peab olema võimalik osaleda reaalajas, jagada ekraani, töötada rühmades ja esitada hindamistõendeid.</w:t>
      </w:r>
    </w:p>
    <w:p>
      <w:pPr>
        <w:keepLines w:val="0"/>
        <w:spacing w:after="80" w:line="259" w:lineRule="auto"/>
      </w:pPr>
      <w:r>
        <w:rPr>
          <w:rFonts w:ascii="Aptos" w:hAnsi="Aptos" w:eastAsia="Aptos"/>
          <w:color w:val="000000"/>
          <w:sz w:val="21"/>
        </w:rPr>
        <w:t>Õppijal on vaja internetiühendusega sülearvutit, ajakohast veebibrauserit, kontoritarkvara ning heli ja video taasesitamise võimalust. Koolitusasutus tagab õppeülesannete täitmiseks vajaliku ligipääsu vähemalt ühele teksti-, pildi- ja videoloome lahendusele, automatiseerimisplatvormile, analüütika näidiskeskkonnale ning API või selle turvalisele simulatsioonile. Tasulise teenuse kohustus ja võimalik kulu tehakse õppijale teatavaks enne õppesse vastuvõtmist.</w:t>
      </w:r>
    </w:p>
    <w:p>
      <w:pPr>
        <w:keepLines w:val="0"/>
        <w:spacing w:after="80" w:line="259" w:lineRule="auto"/>
      </w:pPr>
      <w:r>
        <w:rPr>
          <w:rFonts w:ascii="Aptos" w:hAnsi="Aptos" w:eastAsia="Aptos"/>
          <w:color w:val="000000"/>
          <w:sz w:val="21"/>
        </w:rPr>
        <w:t>Õppematerjalid sisaldavad tööjuhendeid, briifi- ja sisukalendri malle, promptide ning faktikontrolli töölehti, brändijuhise näidiseid, õiguste ja nõusoleku kontrollnimekirju, automatiseerimise skeeme, testandmeid, analüütika ülesandeid, hindamismaatriksit ja kehtivate õigusaktide viiteid. Konkreetseid tööriistu võib tehnoloogia muutumisel asendada samaväärse lahendusega, kui õpiväljundid ja hindamisnõuded säilivad.</w:t>
      </w:r>
    </w:p>
    <w:p>
      <w:pPr>
        <w:pStyle w:val="Heading1"/>
      </w:pPr>
      <w:r>
        <w:t>Praktilise õppe ja projektitöö korraldus</w:t>
      </w:r>
    </w:p>
    <w:p>
      <w:pPr>
        <w:keepLines w:val="0"/>
        <w:spacing w:after="80" w:line="259" w:lineRule="auto"/>
      </w:pPr>
      <w:r>
        <w:rPr>
          <w:rFonts w:ascii="Aptos" w:hAnsi="Aptos" w:eastAsia="Aptos"/>
          <w:color w:val="000000"/>
          <w:sz w:val="21"/>
        </w:rPr>
        <w:t>Praktilised ülesanded tehakse õppija enda, koostööpartneri või koolitusasutuse antud näidisbrändi põhjal. Reaalse kliendi konto, isikuandmete, ärisaladuse või reklaamieelarve kasutamine on lubatud ainult kirjaliku volituse ja andmekaitsenõuete täitmise korral. Hindamiseks piisab avaldamissimulatsioonist; õppija ei pea sisu avalikus kanalis avaldama.</w:t>
      </w:r>
    </w:p>
    <w:p>
      <w:pPr>
        <w:pStyle w:val="ListBullet"/>
        <w:spacing w:after="40" w:line="259" w:lineRule="auto"/>
        <w:ind w:left="369" w:hanging="142"/>
      </w:pPr>
      <w:r>
        <w:rPr>
          <w:rFonts w:ascii="Aptos" w:hAnsi="Aptos" w:eastAsia="Aptos"/>
          <w:color w:val="000000"/>
          <w:sz w:val="21"/>
        </w:rPr>
        <w:t>õppija säilitab portfoolios briifi, lähteandmed, tööversioonid, promptide ja kontrolli jälje ning lõppväljundid;</w:t>
      </w:r>
    </w:p>
    <w:p>
      <w:pPr>
        <w:pStyle w:val="ListBullet"/>
        <w:spacing w:after="40" w:line="259" w:lineRule="auto"/>
        <w:ind w:left="369" w:hanging="142"/>
      </w:pPr>
      <w:r>
        <w:rPr>
          <w:rFonts w:ascii="Aptos" w:hAnsi="Aptos" w:eastAsia="Aptos"/>
          <w:color w:val="000000"/>
          <w:sz w:val="21"/>
        </w:rPr>
        <w:t>juhendaja annab iga mooduli tööle kriteeriumipõhise tagasiside ja määrab vajaduse korral parandustöö;</w:t>
      </w:r>
    </w:p>
    <w:p>
      <w:pPr>
        <w:pStyle w:val="ListBullet"/>
        <w:spacing w:after="40" w:line="259" w:lineRule="auto"/>
        <w:ind w:left="369" w:hanging="142"/>
      </w:pPr>
      <w:r>
        <w:rPr>
          <w:rFonts w:ascii="Aptos" w:hAnsi="Aptos" w:eastAsia="Aptos"/>
          <w:color w:val="000000"/>
          <w:sz w:val="21"/>
        </w:rPr>
        <w:t>meeskonnatöös eristatakse iga õppija isiklik panus ning iga õppija kaitseb oma otsuseid eraldi;</w:t>
      </w:r>
    </w:p>
    <w:p>
      <w:pPr>
        <w:pStyle w:val="ListBullet"/>
        <w:spacing w:after="40" w:line="259" w:lineRule="auto"/>
        <w:ind w:left="369" w:hanging="142"/>
      </w:pPr>
      <w:r>
        <w:rPr>
          <w:rFonts w:ascii="Aptos" w:hAnsi="Aptos" w:eastAsia="Aptos"/>
          <w:color w:val="000000"/>
          <w:sz w:val="21"/>
        </w:rPr>
        <w:t>teenuste tõrke, hinnamuutuse või ligipääsupiirangu korral kasutatakse samaväärset vahendit või dokumenteeritud simulatsiooni.</w:t>
      </w:r>
    </w:p>
    <w:p>
      <w:pPr>
        <w:pStyle w:val="Heading1"/>
      </w:pPr>
      <w:r>
        <w:t>Hindamise korraldus</w:t>
      </w:r>
    </w:p>
    <w:p>
      <w:pPr>
        <w:keepLines w:val="0"/>
        <w:spacing w:after="80" w:line="259" w:lineRule="auto"/>
      </w:pPr>
      <w:r>
        <w:rPr>
          <w:rFonts w:ascii="Aptos" w:hAnsi="Aptos" w:eastAsia="Aptos"/>
          <w:color w:val="000000"/>
          <w:sz w:val="21"/>
        </w:rPr>
        <w:t>Hindamine on eristamata: arvestatud või mittearvestatud. Lõpphindamine koosneb portfooliost, praktilise kampaaniaprototüübi demonstratsioonist ja kaitsmisest. Prototüüp sisaldab strateegiat, nelja nädala sisukalendrit, mitme formaadiga sisupaketti, inimese kinnitusega automatiseeritud töövoogu ning näidisandmetel või tegelikel lubatud andmetel põhinevat tulemusaruannet. Kõik õpiväljundid peavad olema tõendatud.</w:t>
      </w:r>
    </w:p>
    <w:p>
      <w:pPr>
        <w:keepLines w:val="0"/>
        <w:spacing w:after="80" w:line="259" w:lineRule="auto"/>
      </w:pPr>
      <w:r>
        <w:rPr>
          <w:rFonts w:ascii="Aptos" w:hAnsi="Aptos" w:eastAsia="Aptos"/>
          <w:color w:val="000000"/>
          <w:sz w:val="21"/>
        </w:rPr>
        <w:t>Õpiväljund loetakse saavutatuks, kui kõik vastava rea kriteeriumid on täidetud. Isikuandmete, ärisaladuse või ligipääsuvõtmete lubamatu avaldamine, autoriõiguse teadlik rikkumine või ilma nõutud inimkontrollita automaatne avaldamine katkestab ülesande ja annab tulemuseks mittearvestatud. Kordushindamine toimub pärast juhendatud tagasisidet koolitusasutuse määratud ajal.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51"/>
        <w:gridCol w:w="3251"/>
        <w:gridCol w:w="3251"/>
      </w:tblGrid>
      <w:tr>
        <w:trPr>
          <w:tblHeader w:val="true"/>
          <w:cantSplit/>
        </w:trPr>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Õpiväljund</w:t>
            </w:r>
          </w:p>
        </w:tc>
        <w:tc>
          <w:tcPr>
            <w:tcW w:type="dxa" w:w="232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Hindamismeetod</w:t>
            </w:r>
          </w:p>
        </w:tc>
        <w:tc>
          <w:tcPr>
            <w:tcW w:type="dxa" w:w="527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Arvestamise kriteeriumid</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Strateegia ja sisukava</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Kirjalik strateegia, sisukalender ja suuline põhjendus.</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Seostab vähemalt ühe ärieesmärgi mõõdetava kommunikatsioonieesmärgiga; kirjeldab tõenditele tuginedes sihtrühma ja vähemalt kahte konkurenti; põhjendab kanalivalikut; määrab vähemalt kolm asjakohast KPI-d; koostab vähemalt nelja nädala sisukava, milles on teema, formaat, kanal, eesmärk, vastutaja ja mõõdik.</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Tekstisisu</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Tekstiportfoolio ja tööprotsessi kontrolljälg.</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Esitab vähemalt kuus eri eesmärgi või formaadiga teksti; järgib briifi ja brändihäält; kohandab vähemalt ühe sisu neljale kanalile; kontrollib väited vähemalt kahe usaldusväärse allika abil; parandab tehisintellekti ebatäpse väljundi; dokumenteerib kasutatud sisendid, töötluse ja lõpliku inimotsuse.</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Visuaal heli ja video</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Multimeediaportfoolio ja praktiline demonstratsioon.</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Loob ühtse kampaaniastiiliga vähemalt kolm visuaali ja ühe lühivideo; valib kanalile sobiva mõõdu, faili ning kestuse; lisab vajalikud subtiitrid ja alternatiivteksti; kontrollib kasutusõigusi ning isikute nõusolekuid; märgistab sünteetilise sisu, kui õigusakt või kanali reegel seda nõuab.</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Avaldamine ja kogukonnahaldus</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Avaldamissimulatsioon ja juhtumülesanne.</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Valmistab neljale kanalile avaldamisvalmis paketid; määrab ajastuse ja vastutaja; eristab reklaamsisu; kontrollib lingid, metaandmed ja ligipääsetavuse; vastab kliendi küsimusele ning kriitilisele kommentaarile brändijuhise järgi; eskaleerib õigusliku või maineohuga juhtumi.</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Automatiseeritud töövoog</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Töövoo prototüüp, testlogi ja suuline selgitus.</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Kaardistab sisendi, töötluse, kinnituse ja väljundi; ühendab vähemalt kolm tööetappi; ei avalda ilma inimese kinnitusetapita; hoiab võtmed ja isikuandmed väljundist ning logidest eraldi; testib tavavoogu ja vähemalt kahte veaolukorda; dokumenteerib vea, taastamise ja käsitsi jätkamise võimaluse.</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Analüütika ja optimeerimine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Andmestikul põhinev aruanne ja parendusettepanekud.</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Arvutab või tõlgendab vähemalt ulatust, kaasatust, klikke ja konversiooni; võrdleb tulemust eesmärgi ning lähteväärtusega; eristab andmest tuleneva järelduse oletusest; esitab vähemalt kolm põhjendatud parendusettepanekut ja ühe järgmise testi hüpoteesi.</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7 Lõimitud lõppprojekt</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Portfoolio, toimiva kampaaniaprototüübi demonstratsioon ja kaitsmine.</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Kõik projekti osad moodustavad sidusa terviku; prototüüp täidab briifi; sisu on avaldamisvalmis; töövoog on korratav; mõõdikud võimaldavad mõju hinnata; õppija põhjendab tööriistu, inimkontrolli, kulusid, riske ja õiguspärasust ning vastab komisjoni küsimustele sisuliselt.</w:t>
            </w:r>
          </w:p>
        </w:tc>
      </w:tr>
    </w:tbl>
    <w:p>
      <w:pPr>
        <w:spacing w:after="20"/>
      </w:pPr>
    </w:p>
    <w:p>
      <w:pPr>
        <w:pStyle w:val="Heading1"/>
      </w:pPr>
      <w:r>
        <w:t>Õppe lõpetamine ja väljastatavad dokumendid</w:t>
      </w:r>
    </w:p>
    <w:p>
      <w:pPr>
        <w:keepLines w:val="0"/>
        <w:spacing w:after="80" w:line="259" w:lineRule="auto"/>
      </w:pPr>
      <w:r>
        <w:rPr>
          <w:rFonts w:ascii="Aptos" w:hAnsi="Aptos" w:eastAsia="Aptos"/>
          <w:color w:val="000000"/>
          <w:sz w:val="21"/>
        </w:rPr>
        <w:t>Õppe lõpetamiseks peab õppija saavutama kõik õpiväljundid, esitama nõutud portfoolio ning läbima lõpphindamise. Soovituslik osalemise miinimum on 80 protsenti kontaktõppest, kuid lõpetamise otsus põhineb õpiväljundite tõendatud saavutamisel, mitte üksnes osalemisel.</w:t>
      </w:r>
    </w:p>
    <w:p>
      <w:pPr>
        <w:pStyle w:val="ListBullet"/>
        <w:spacing w:after="40" w:line="259" w:lineRule="auto"/>
        <w:ind w:left="369" w:hanging="142"/>
      </w:pPr>
      <w:r>
        <w:rPr>
          <w:rFonts w:ascii="Aptos" w:hAnsi="Aptos" w:eastAsia="Aptos"/>
          <w:color w:val="000000"/>
          <w:sz w:val="21"/>
        </w:rPr>
        <w:t>Kõigi õpiväljundite saavutamisel väljastatakse pärast õppekavale mikrokvalifikatsiooniõppe tegevusloa saamist mikrokvalifikatsioonitunnistus koos õpiväljundite, mahu, hindamismeetodite ja tulemuste kirjeldusega.</w:t>
      </w:r>
    </w:p>
    <w:p>
      <w:pPr>
        <w:pStyle w:val="ListBullet"/>
        <w:spacing w:after="40" w:line="259" w:lineRule="auto"/>
        <w:ind w:left="369" w:hanging="142"/>
      </w:pPr>
      <w:r>
        <w:rPr>
          <w:rFonts w:ascii="Aptos" w:hAnsi="Aptos" w:eastAsia="Aptos"/>
          <w:color w:val="000000"/>
          <w:sz w:val="21"/>
        </w:rPr>
        <w:t>Kui õppija hindamisel ei osalenud või kõiki õpiväljundeid ei saavutanud, väljastatakse tõend osaletud õppe mahu ja läbitud teemade kohta.</w:t>
      </w:r>
    </w:p>
    <w:p>
      <w:pPr>
        <w:pStyle w:val="ListBullet"/>
        <w:spacing w:after="40" w:line="259" w:lineRule="auto"/>
        <w:ind w:left="369" w:hanging="142"/>
      </w:pPr>
      <w:r>
        <w:rPr>
          <w:rFonts w:ascii="Aptos" w:hAnsi="Aptos" w:eastAsia="Aptos"/>
          <w:color w:val="000000"/>
          <w:sz w:val="21"/>
        </w:rPr>
        <w:t>Enne tegevusloa saamist ei viida õppekava läbi mikrokvalifikatsiooniõppena ega kasutata väljastataval dokumendil nimetust mikrokvalifikatsioonitunnistus.</w:t>
      </w:r>
    </w:p>
    <w:p>
      <w:pPr>
        <w:keepLines w:val="0"/>
        <w:spacing w:after="80" w:line="259" w:lineRule="auto"/>
      </w:pPr>
      <w:r>
        <w:rPr>
          <w:rFonts w:ascii="Aptos" w:hAnsi="Aptos" w:eastAsia="Aptos"/>
          <w:color w:val="000000"/>
          <w:sz w:val="21"/>
        </w:rPr>
        <w:t>Õppekava läbimine ei anna kutset ega reguleeritud ametialast õigust. Mikrokvalifikatsioon tõendab õppekavas kirjeldatud ja hinnatud teadmiste ning oskuste kogumit.</w:t>
      </w:r>
    </w:p>
    <w:p>
      <w:pPr>
        <w:pStyle w:val="Heading1"/>
      </w:pPr>
      <w:r>
        <w:t>Õppe läbiviijate nõuded</w:t>
      </w:r>
    </w:p>
    <w:p>
      <w:pPr>
        <w:keepLines w:val="0"/>
        <w:spacing w:after="80" w:line="259" w:lineRule="auto"/>
      </w:pPr>
      <w:r>
        <w:rPr>
          <w:rFonts w:ascii="Aptos" w:hAnsi="Aptos" w:eastAsia="Aptos"/>
          <w:color w:val="000000"/>
          <w:sz w:val="21"/>
        </w:rPr>
        <w:t>Põhiõpetajal peab olema vähemalt magistrikraad või sellele vastav kvalifikatsioon turunduse, kommunikatsiooni, juhtimise, infotehnoloogia või seotud valdkonnas, vähemalt kolmeaastane ajakohane töökogemus digiturunduse või sotsiaalmeedia sisuloome valdkonnas ning tõendatav praktiline kogemus generatiivse tehisintellekti ja automatiseerimise rakendamisel. Õpetajal peab olema täiskasvanute koolitamise pädevus või vähemalt kaheaastane täiskasvanute õpetamise kogemus.</w:t>
      </w:r>
    </w:p>
    <w:p>
      <w:pPr>
        <w:keepLines w:val="0"/>
        <w:spacing w:after="80" w:line="259" w:lineRule="auto"/>
      </w:pPr>
      <w:r>
        <w:rPr>
          <w:rFonts w:ascii="Aptos" w:hAnsi="Aptos" w:eastAsia="Aptos"/>
          <w:color w:val="000000"/>
          <w:sz w:val="21"/>
        </w:rPr>
        <w:t>Andmekaitse, autoriõiguse või küberturbe teemat õpetaval spetsialistil peab olema vastava valdkonna erialane ettevalmistus või vähemalt kolmeaastane asjakohane töökogemus. Lõpphindamise komisjonis on vähemalt kaks liiget, kellest vähemalt üks on koolitusasutuseväline digiturunduse või tehisintellekti rakendamise praktik. Huvide konflikt välistatakse enne hindamist.</w:t>
      </w:r>
    </w:p>
    <w:p>
      <w:pPr>
        <w:pStyle w:val="Heading1"/>
      </w:pPr>
      <w:r>
        <w:t>Õppekava kvaliteedi tagamine ja ülevaatamine</w:t>
      </w:r>
    </w:p>
    <w:p>
      <w:pPr>
        <w:keepLines w:val="0"/>
        <w:spacing w:after="80" w:line="259" w:lineRule="auto"/>
      </w:pPr>
      <w:r>
        <w:rPr>
          <w:rFonts w:ascii="Aptos" w:hAnsi="Aptos" w:eastAsia="Aptos"/>
          <w:color w:val="000000"/>
          <w:sz w:val="21"/>
        </w:rPr>
        <w:t>Koolitusasutus kogub pärast mooduleid ja lõpphindamist õppija ning õpetaja tagasisidet, analüüsib õpiväljundite saavutamist, katkestamisi, kordushindamisi ja lõpetajate hinnangut õppe rakendatavusele. Vähemalt kord aastas võrreldakse õppekava OSKA uuringute, tööandjate tagasiside, õigusaktide, platvormide ja tehnoloogia arenguga. Muudatused kinnitab sihtasutuse juhatuse liige ning õppekava versioon ja muudatuse kuupäev dokumenteeritakse.</w:t>
      </w:r>
    </w:p>
    <w:p>
      <w:pPr>
        <w:pStyle w:val="Heading1"/>
      </w:pPr>
      <w:r>
        <w:t>Õppekava allikad</w:t>
      </w:r>
    </w:p>
    <w:p>
      <w:pPr>
        <w:pStyle w:val="ListBullet"/>
        <w:spacing w:after="60" w:line="259" w:lineRule="auto"/>
      </w:pPr>
      <w:hyperlink r:id="rId11">
        <w:r>
          <w:rPr>
            <w:color w:val="17365D"/>
            <w:u w:val="single"/>
          </w:rPr>
          <w:t>Täiskasvanute koolituse seadus</w:t>
        </w:r>
      </w:hyperlink>
    </w:p>
    <w:p>
      <w:pPr>
        <w:pStyle w:val="ListBullet"/>
        <w:spacing w:after="60" w:line="259" w:lineRule="auto"/>
      </w:pPr>
      <w:hyperlink r:id="rId12">
        <w:r>
          <w:rPr>
            <w:color w:val="17365D"/>
            <w:u w:val="single"/>
          </w:rPr>
          <w:t>Täienduskoolituse standard</w:t>
        </w:r>
      </w:hyperlink>
    </w:p>
    <w:p>
      <w:pPr>
        <w:pStyle w:val="ListBullet"/>
        <w:spacing w:after="60" w:line="259" w:lineRule="auto"/>
      </w:pPr>
      <w:hyperlink r:id="rId13">
        <w:r>
          <w:rPr>
            <w:color w:val="17365D"/>
            <w:u w:val="single"/>
          </w:rPr>
          <w:t>Haridus ja Teadusministeeriumi mikrokvalifikatsioonide teave</w:t>
        </w:r>
      </w:hyperlink>
    </w:p>
    <w:p>
      <w:pPr>
        <w:pStyle w:val="ListBullet"/>
        <w:spacing w:after="60" w:line="259" w:lineRule="auto"/>
      </w:pPr>
      <w:hyperlink r:id="rId14">
        <w:r>
          <w:rPr>
            <w:color w:val="17365D"/>
            <w:u w:val="single"/>
          </w:rPr>
          <w:t>HAKA mikrokvalifikatsiooniõppe läbiviimise juhised</w:t>
        </w:r>
      </w:hyperlink>
    </w:p>
    <w:p>
      <w:pPr>
        <w:pStyle w:val="ListBullet"/>
        <w:spacing w:after="60" w:line="259" w:lineRule="auto"/>
      </w:pPr>
      <w:hyperlink r:id="rId15">
        <w:r>
          <w:rPr>
            <w:color w:val="17365D"/>
            <w:u w:val="single"/>
          </w:rPr>
          <w:t>OSKA uuring Tehisintellekti mõju tööjõu oskuste vajadusele ettevõtluses</w:t>
        </w:r>
      </w:hyperlink>
    </w:p>
    <w:p>
      <w:pPr>
        <w:pStyle w:val="ListBullet"/>
        <w:spacing w:after="60" w:line="259" w:lineRule="auto"/>
      </w:pPr>
      <w:hyperlink r:id="rId16">
        <w:r>
          <w:rPr>
            <w:color w:val="17365D"/>
            <w:u w:val="single"/>
          </w:rPr>
          <w:t>Euroopa Liidu tehisintellekti käsitlev määrus</w:t>
        </w:r>
      </w:hyperlink>
    </w:p>
    <w:p>
      <w:pPr>
        <w:pStyle w:val="ListBullet"/>
        <w:spacing w:after="60" w:line="259" w:lineRule="auto"/>
      </w:pPr>
      <w:hyperlink r:id="rId17">
        <w:r>
          <w:rPr>
            <w:color w:val="17365D"/>
            <w:u w:val="single"/>
          </w:rPr>
          <w:t>Isikuandmete kaitse seadus</w:t>
        </w:r>
      </w:hyperlink>
    </w:p>
    <w:p>
      <w:pPr>
        <w:pStyle w:val="ListBullet"/>
        <w:spacing w:after="60" w:line="259" w:lineRule="auto"/>
      </w:pPr>
      <w:hyperlink r:id="rId18">
        <w:r>
          <w:rPr>
            <w:color w:val="17365D"/>
            <w:u w:val="single"/>
          </w:rPr>
          <w:t>Autoriõiguse seadus</w:t>
        </w:r>
      </w:hyperlink>
    </w:p>
    <w:p>
      <w:pPr>
        <w:pStyle w:val="ListBullet"/>
        <w:spacing w:after="60" w:line="259" w:lineRule="auto"/>
      </w:pPr>
      <w:hyperlink r:id="rId19">
        <w:r>
          <w:rPr>
            <w:color w:val="17365D"/>
            <w:u w:val="single"/>
          </w:rPr>
          <w:t>Reklaamiseadus</w:t>
        </w:r>
      </w:hyperlink>
    </w:p>
    <w:p>
      <w:pPr>
        <w:keepLines w:val="0"/>
        <w:spacing w:after="80" w:line="259" w:lineRule="auto"/>
      </w:pPr>
      <w:r>
        <w:rPr>
          <w:rFonts w:ascii="Aptos" w:hAnsi="Aptos" w:eastAsia="Aptos"/>
          <w:color w:val="000000"/>
          <w:sz w:val="21"/>
        </w:rPr>
        <w:t>Allikate kehtivus kontrollitud 08.09.2026.</w:t>
      </w:r>
    </w:p>
    <w:sectPr w:rsidR="00FC693F" w:rsidRPr="0006063C" w:rsidSect="00034616">
      <w:headerReference w:type="default" r:id="rId9"/>
      <w:footerReference w:type="default" r:id="rId10"/>
      <w:pgSz w:w="11906" w:h="16838"/>
      <w:pgMar w:top="1077" w:right="1020"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5B6573"/>
        <w:sz w:val="16"/>
      </w:rPr>
      <w:t xml:space="preserve">Õppekava   |   </w:t>
    </w:r>
    <w:r>
      <w:rPr>
        <w:rFonts w:ascii="Aptos" w:hAnsi="Aptos" w:eastAsia="Aptos"/>
        <w:color w:val="5B6573"/>
        <w:sz w:val="16"/>
      </w:rPr>
      <w:fldChar w:fldCharType="begin"/>
      <w:instrText xml:space="preserve">PAGE</w:instrText>
      <w:fldChar w:fldCharType="separate"/>
      <w:fldChar w:fldCharType="end"/>
    </w:r>
    <w:r>
      <w:rPr>
        <w:rFonts w:ascii="Aptos" w:hAnsi="Aptos" w:eastAsia="Aptos"/>
        <w:color w:val="5B6573"/>
        <w:sz w:val="16"/>
      </w:rPr>
      <w:t xml:space="preserve"> / </w:t>
    </w:r>
    <w:r>
      <w:rPr>
        <w:rFonts w:ascii="Aptos" w:hAnsi="Aptos" w:eastAsia="Aptos"/>
        <w:color w:val="5B6573"/>
        <w:sz w:val="16"/>
      </w:rPr>
      <w:fldChar w:fldCharType="begin"/>
      <w:instrText xml:space="preserve">NUMPAGES</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eastAsia="Aptos"/>
        <w:color w:val="5B6573"/>
        <w:sz w:val="16"/>
      </w:rPr>
      <w:t>sihtasutus Andrei Gritskov Foundation   |   TI sisuloome ja SMM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iigiteataja.ee/akt/T%C3%A4KS" TargetMode="External"/><Relationship Id="rId12" Type="http://schemas.openxmlformats.org/officeDocument/2006/relationships/hyperlink" Target="https://www.riigiteataja.ee/akt/111112016002" TargetMode="External"/><Relationship Id="rId13" Type="http://schemas.openxmlformats.org/officeDocument/2006/relationships/hyperlink" Target="https://www.hm.ee/mikrokvalifikatsioonid" TargetMode="External"/><Relationship Id="rId14" Type="http://schemas.openxmlformats.org/officeDocument/2006/relationships/hyperlink" Target="https://haka.ee/mikrokvalifikatsioonioppe-labiviimine/" TargetMode="External"/><Relationship Id="rId15" Type="http://schemas.openxmlformats.org/officeDocument/2006/relationships/hyperlink" Target="https://uuringud.oska.kutsekoda.ee/uuringud/ai-uuring" TargetMode="External"/><Relationship Id="rId16" Type="http://schemas.openxmlformats.org/officeDocument/2006/relationships/hyperlink" Target="https://eur-lex.europa.eu/eli/reg/2024/1689/oj" TargetMode="External"/><Relationship Id="rId17" Type="http://schemas.openxmlformats.org/officeDocument/2006/relationships/hyperlink" Target="https://www.riigiteataja.ee/akt/104012019011" TargetMode="External"/><Relationship Id="rId18" Type="http://schemas.openxmlformats.org/officeDocument/2006/relationships/hyperlink" Target="https://www.riigiteataja.ee/akt/Aut%C3%95S" TargetMode="External"/><Relationship Id="rId19" Type="http://schemas.openxmlformats.org/officeDocument/2006/relationships/hyperlink" Target="https://www.riigiteataja.ee/akt/Re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Tehisintellekti toel sisuloome ja sotsiaalmeedia turunduse mikrokvalifikatsiooni õppekava</dc:title>
  <dc:subject>Mikrokvalifikatsiooni õppekava</dc:subject>
  <dc:creator>sihtasutus Andrei Gritskov Foundation</dc:creator>
  <cp:keywords>mikrokvalifikatsioon, sisuloome, sotsiaalmeedia, tehisintellekt, digiturundus</cp:keywords>
  <dc:description>generated by python-docx</dc:description>
  <cp:lastModifiedBy/>
  <cp:revision>1</cp:revision>
  <dcterms:created xsi:type="dcterms:W3CDTF">2013-12-23T23:15:00Z</dcterms:created>
  <dcterms:modified xsi:type="dcterms:W3CDTF">2013-12-23T23:15:00Z</dcterms:modified>
  <cp:category/>
</cp:coreProperties>
</file>